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2B789C" w:rsidRPr="002B789C" w:rsidRDefault="002B789C" w:rsidP="002B789C">
      <w:pPr>
        <w:jc w:val="center"/>
        <w:rPr>
          <w:rFonts w:ascii="方正小标宋简体" w:eastAsia="方正小标宋简体" w:hAnsi="方正小标宋简体"/>
          <w:sz w:val="44"/>
          <w:szCs w:val="44"/>
        </w:rPr>
      </w:pPr>
      <w:r w:rsidRPr="002B789C">
        <w:rPr>
          <w:rFonts w:ascii="方正小标宋简体" w:eastAsia="方正小标宋简体" w:hAnsi="方正小标宋简体"/>
          <w:sz w:val="44"/>
          <w:szCs w:val="44"/>
        </w:rPr>
        <w:t>凝心聚力筑堡垒 精准施策育尖兵</w:t>
      </w:r>
      <w:r w:rsidRPr="002B789C">
        <w:rPr>
          <w:rFonts w:ascii="Times New Roman" w:eastAsia="方正小标宋简体" w:hAnsi="Times New Roman" w:cs="Times New Roman"/>
          <w:sz w:val="44"/>
          <w:szCs w:val="44"/>
        </w:rPr>
        <w:t>​</w:t>
      </w:r>
    </w:p>
    <w:p w:rsidR="003D0AE2" w:rsidRPr="003D0AE2" w:rsidRDefault="003D0AE2" w:rsidP="003D0AE2">
      <w:pPr>
        <w:adjustRightInd w:val="0"/>
        <w:contextualSpacing/>
        <w:jc w:val="center"/>
        <w:rPr>
          <w:rFonts w:ascii="楷体_GB2312" w:eastAsia="楷体_GB2312" w:hAnsi="楷体_GB2312" w:hint="eastAsia"/>
          <w:sz w:val="32"/>
          <w:szCs w:val="32"/>
        </w:rPr>
      </w:pPr>
      <w:r w:rsidRPr="003D0AE2">
        <w:rPr>
          <w:rFonts w:ascii="楷体_GB2312" w:eastAsia="楷体_GB2312" w:hAnsi="楷体_GB2312" w:hint="eastAsia"/>
          <w:sz w:val="32"/>
          <w:szCs w:val="32"/>
        </w:rPr>
        <w:t>机关第五党支部</w:t>
      </w:r>
    </w:p>
    <w:p w:rsidR="003D0AE2" w:rsidRPr="003D0AE2" w:rsidRDefault="003D0AE2" w:rsidP="003D0AE2">
      <w:pPr>
        <w:adjustRightInd w:val="0"/>
        <w:ind w:firstLineChars="200" w:firstLine="640"/>
        <w:contextualSpacing/>
        <w:rPr>
          <w:rFonts w:ascii="黑体" w:eastAsia="黑体" w:hAnsi="黑体"/>
          <w:sz w:val="32"/>
          <w:szCs w:val="32"/>
        </w:rPr>
      </w:pPr>
      <w:r w:rsidRPr="003D0AE2">
        <w:rPr>
          <w:rFonts w:ascii="黑体" w:eastAsia="黑体" w:hAnsi="黑体" w:hint="eastAsia"/>
          <w:sz w:val="32"/>
          <w:szCs w:val="32"/>
        </w:rPr>
        <w:t>一、前言</w:t>
      </w:r>
    </w:p>
    <w:p w:rsidR="002B789C" w:rsidRPr="003D0AE2" w:rsidRDefault="00CA717B" w:rsidP="003D0AE2">
      <w:pPr>
        <w:adjustRightInd w:val="0"/>
        <w:ind w:firstLineChars="200" w:firstLine="640"/>
        <w:contextualSpacing/>
        <w:rPr>
          <w:rFonts w:ascii="仿宋_GB2312" w:eastAsia="仿宋_GB2312" w:hAnsi="仿宋_GB2312"/>
          <w:sz w:val="32"/>
          <w:szCs w:val="32"/>
        </w:rPr>
      </w:pPr>
      <w:r w:rsidRPr="003D0AE2">
        <w:rPr>
          <w:rFonts w:ascii="仿宋_GB2312" w:eastAsia="仿宋_GB2312" w:hAnsi="仿宋_GB2312" w:hint="eastAsia"/>
          <w:sz w:val="32"/>
          <w:szCs w:val="32"/>
        </w:rPr>
        <w:t>四川信息职业技术学</w:t>
      </w:r>
      <w:r w:rsidR="002B789C" w:rsidRPr="003D0AE2">
        <w:rPr>
          <w:rFonts w:ascii="仿宋_GB2312" w:eastAsia="仿宋_GB2312" w:hAnsi="仿宋_GB2312"/>
          <w:sz w:val="32"/>
          <w:szCs w:val="32"/>
        </w:rPr>
        <w:t>院始终以习近平强军思想为指导，将征兵工作纳入思想政治教育核心体系，通过“体系化推进、精准化动员</w:t>
      </w:r>
      <w:r w:rsidR="002B789C" w:rsidRPr="003D0AE2">
        <w:rPr>
          <w:rFonts w:ascii="仿宋_GB2312" w:eastAsia="仿宋_GB2312" w:hAnsi="仿宋_GB2312" w:hint="eastAsia"/>
          <w:sz w:val="32"/>
          <w:szCs w:val="32"/>
        </w:rPr>
        <w:t>、</w:t>
      </w:r>
      <w:r w:rsidR="002B789C" w:rsidRPr="003D0AE2">
        <w:rPr>
          <w:rFonts w:ascii="仿宋_GB2312" w:eastAsia="仿宋_GB2312" w:hAnsi="仿宋_GB2312"/>
          <w:sz w:val="32"/>
          <w:szCs w:val="32"/>
        </w:rPr>
        <w:t>全周期服务”的工作模式，推动征兵工作走深走实，输送优质兵源数量</w:t>
      </w:r>
      <w:r w:rsidRPr="003D0AE2">
        <w:rPr>
          <w:rFonts w:ascii="仿宋_GB2312" w:eastAsia="仿宋_GB2312" w:hAnsi="仿宋_GB2312" w:hint="eastAsia"/>
          <w:sz w:val="32"/>
          <w:szCs w:val="32"/>
        </w:rPr>
        <w:t>逐年</w:t>
      </w:r>
      <w:r w:rsidR="002B789C" w:rsidRPr="003D0AE2">
        <w:rPr>
          <w:rFonts w:ascii="仿宋_GB2312" w:eastAsia="仿宋_GB2312" w:hAnsi="仿宋_GB2312" w:hint="eastAsia"/>
          <w:sz w:val="32"/>
          <w:szCs w:val="32"/>
        </w:rPr>
        <w:t>上升</w:t>
      </w:r>
      <w:r w:rsidR="002B789C" w:rsidRPr="003D0AE2">
        <w:rPr>
          <w:rFonts w:ascii="仿宋_GB2312" w:eastAsia="仿宋_GB2312" w:hAnsi="仿宋_GB2312"/>
          <w:sz w:val="32"/>
          <w:szCs w:val="32"/>
        </w:rPr>
        <w:t>，实现“零退兵、高适配”的工作目标。</w:t>
      </w:r>
      <w:r w:rsidR="005B7CDB" w:rsidRPr="003D0AE2">
        <w:rPr>
          <w:rFonts w:ascii="仿宋_GB2312" w:eastAsia="仿宋_GB2312" w:hAnsi="仿宋_GB2312" w:hint="eastAsia"/>
          <w:sz w:val="32"/>
          <w:szCs w:val="32"/>
        </w:rPr>
        <w:t>近</w:t>
      </w:r>
      <w:r w:rsidR="00B10E87" w:rsidRPr="003D0AE2">
        <w:rPr>
          <w:rFonts w:ascii="仿宋_GB2312" w:eastAsia="仿宋_GB2312" w:hAnsi="仿宋_GB2312" w:hint="eastAsia"/>
          <w:sz w:val="32"/>
          <w:szCs w:val="32"/>
        </w:rPr>
        <w:t>两年</w:t>
      </w:r>
      <w:r w:rsidR="005B7CDB" w:rsidRPr="003D0AE2">
        <w:rPr>
          <w:rFonts w:ascii="仿宋_GB2312" w:eastAsia="仿宋_GB2312" w:hAnsi="仿宋_GB2312" w:hint="eastAsia"/>
          <w:sz w:val="32"/>
          <w:szCs w:val="32"/>
        </w:rPr>
        <w:t>年送新兵共计467人，</w:t>
      </w:r>
      <w:r w:rsidR="001A5F6F" w:rsidRPr="003D0AE2">
        <w:rPr>
          <w:rFonts w:ascii="仿宋_GB2312" w:eastAsia="仿宋_GB2312" w:hAnsi="仿宋_GB2312" w:hint="eastAsia"/>
          <w:sz w:val="32"/>
          <w:szCs w:val="32"/>
        </w:rPr>
        <w:t>2024年因征兵工作成效显著，被</w:t>
      </w:r>
      <w:r w:rsidR="002B789C" w:rsidRPr="003D0AE2">
        <w:rPr>
          <w:rFonts w:ascii="Cambria Math" w:eastAsia="仿宋_GB2312" w:hAnsi="Cambria Math" w:cs="Cambria Math"/>
          <w:sz w:val="32"/>
          <w:szCs w:val="32"/>
        </w:rPr>
        <w:t>​</w:t>
      </w:r>
      <w:r w:rsidR="005B7CDB" w:rsidRPr="003D0AE2">
        <w:rPr>
          <w:rFonts w:ascii="Cambria Math" w:eastAsia="仿宋_GB2312" w:hAnsi="Cambria Math" w:cs="Cambria Math"/>
          <w:sz w:val="32"/>
          <w:szCs w:val="32"/>
        </w:rPr>
        <w:t>四川省人民政府、四川省军区</w:t>
      </w:r>
      <w:r w:rsidR="005B7CDB" w:rsidRPr="003D0AE2">
        <w:rPr>
          <w:rFonts w:ascii="Cambria Math" w:eastAsia="仿宋_GB2312" w:hAnsi="Cambria Math" w:cs="Cambria Math" w:hint="eastAsia"/>
          <w:sz w:val="32"/>
          <w:szCs w:val="32"/>
        </w:rPr>
        <w:t>授予“</w:t>
      </w:r>
      <w:r w:rsidR="005B7CDB" w:rsidRPr="003D0AE2">
        <w:rPr>
          <w:rFonts w:ascii="Cambria Math" w:eastAsia="仿宋_GB2312" w:hAnsi="Cambria Math" w:cs="Cambria Math"/>
          <w:sz w:val="32"/>
          <w:szCs w:val="32"/>
        </w:rPr>
        <w:t>全省大学生征兵工作表现突出集体</w:t>
      </w:r>
      <w:r w:rsidR="005B7CDB" w:rsidRPr="003D0AE2">
        <w:rPr>
          <w:rFonts w:ascii="Cambria Math" w:eastAsia="仿宋_GB2312" w:hAnsi="Cambria Math" w:cs="Cambria Math" w:hint="eastAsia"/>
          <w:sz w:val="32"/>
          <w:szCs w:val="32"/>
        </w:rPr>
        <w:t>”</w:t>
      </w:r>
      <w:r w:rsidR="005B7CDB" w:rsidRPr="003D0AE2">
        <w:rPr>
          <w:rFonts w:ascii="Cambria Math" w:eastAsia="仿宋_GB2312" w:hAnsi="Cambria Math" w:cs="Cambria Math"/>
          <w:sz w:val="32"/>
          <w:szCs w:val="32"/>
        </w:rPr>
        <w:t>称号</w:t>
      </w:r>
      <w:r w:rsidR="005B7CDB" w:rsidRPr="003D0AE2">
        <w:rPr>
          <w:rFonts w:ascii="Cambria Math" w:eastAsia="仿宋_GB2312" w:hAnsi="Cambria Math" w:cs="Cambria Math" w:hint="eastAsia"/>
          <w:sz w:val="32"/>
          <w:szCs w:val="32"/>
        </w:rPr>
        <w:t>。</w:t>
      </w:r>
    </w:p>
    <w:p w:rsidR="003D0AE2" w:rsidRDefault="003D0AE2" w:rsidP="003D0AE2">
      <w:pPr>
        <w:adjustRightInd w:val="0"/>
        <w:ind w:firstLineChars="200" w:firstLine="640"/>
        <w:contextualSpacing/>
        <w:rPr>
          <w:rFonts w:ascii="黑体" w:eastAsia="黑体" w:hAnsi="黑体"/>
          <w:sz w:val="32"/>
          <w:szCs w:val="32"/>
        </w:rPr>
      </w:pPr>
      <w:r>
        <w:rPr>
          <w:rFonts w:ascii="黑体" w:eastAsia="黑体" w:hAnsi="黑体" w:hint="eastAsia"/>
          <w:sz w:val="32"/>
          <w:szCs w:val="32"/>
        </w:rPr>
        <w:t>二、主要做法</w:t>
      </w:r>
    </w:p>
    <w:p w:rsidR="002B789C" w:rsidRPr="003D0AE2" w:rsidRDefault="003D0AE2" w:rsidP="003D0AE2">
      <w:pPr>
        <w:adjustRightInd w:val="0"/>
        <w:ind w:firstLineChars="200" w:firstLine="640"/>
        <w:contextualSpacing/>
        <w:rPr>
          <w:rFonts w:ascii="黑体" w:eastAsia="黑体" w:hAnsi="黑体"/>
          <w:sz w:val="32"/>
          <w:szCs w:val="32"/>
        </w:rPr>
      </w:pPr>
      <w:r w:rsidRPr="003D0AE2">
        <w:rPr>
          <w:rFonts w:ascii="楷体_GB2312" w:eastAsia="楷体_GB2312" w:hAnsi="楷体_GB2312" w:hint="eastAsia"/>
          <w:sz w:val="32"/>
          <w:szCs w:val="32"/>
        </w:rPr>
        <w:t>（一）</w:t>
      </w:r>
      <w:r w:rsidR="002B789C" w:rsidRPr="003D0AE2">
        <w:rPr>
          <w:rFonts w:ascii="楷体_GB2312" w:eastAsia="楷体_GB2312" w:hAnsi="楷体_GB2312"/>
          <w:sz w:val="32"/>
          <w:szCs w:val="32"/>
        </w:rPr>
        <w:t>强化顶层设计，构建三级联动工作体系</w:t>
      </w:r>
      <w:r w:rsidR="002B789C" w:rsidRPr="003D0AE2">
        <w:rPr>
          <w:rFonts w:ascii="Cambria Math" w:eastAsia="黑体" w:hAnsi="Cambria Math" w:cs="Cambria Math"/>
          <w:sz w:val="32"/>
          <w:szCs w:val="32"/>
        </w:rPr>
        <w:t>​</w:t>
      </w:r>
    </w:p>
    <w:p w:rsidR="002B789C" w:rsidRPr="003D0AE2" w:rsidRDefault="002B789C" w:rsidP="003D0AE2">
      <w:pPr>
        <w:adjustRightInd w:val="0"/>
        <w:ind w:firstLineChars="200" w:firstLine="640"/>
        <w:contextualSpacing/>
        <w:rPr>
          <w:rFonts w:ascii="仿宋_GB2312" w:eastAsia="仿宋_GB2312" w:hAnsi="仿宋_GB2312"/>
          <w:sz w:val="32"/>
          <w:szCs w:val="32"/>
        </w:rPr>
      </w:pPr>
      <w:r w:rsidRPr="003D0AE2">
        <w:rPr>
          <w:rFonts w:ascii="仿宋_GB2312" w:eastAsia="仿宋_GB2312" w:hAnsi="仿宋_GB2312"/>
          <w:sz w:val="32"/>
          <w:szCs w:val="32"/>
        </w:rPr>
        <w:t>学院党委始终将征兵工作作为重大政治任务，成立征兵工作领导小组，明确“校统筹、院主责、班落实”的三级责任链条。建立“武装部牵头、多部门协同”的工作机制，</w:t>
      </w:r>
      <w:r w:rsidR="00CA717B" w:rsidRPr="003D0AE2">
        <w:rPr>
          <w:rFonts w:ascii="仿宋_GB2312" w:eastAsia="仿宋_GB2312" w:hAnsi="仿宋_GB2312" w:hint="eastAsia"/>
          <w:sz w:val="32"/>
          <w:szCs w:val="32"/>
        </w:rPr>
        <w:t>学生处、</w:t>
      </w:r>
      <w:r w:rsidRPr="003D0AE2">
        <w:rPr>
          <w:rFonts w:ascii="仿宋_GB2312" w:eastAsia="仿宋_GB2312" w:hAnsi="仿宋_GB2312"/>
          <w:sz w:val="32"/>
          <w:szCs w:val="32"/>
        </w:rPr>
        <w:t>教务处、财</w:t>
      </w:r>
      <w:r w:rsidRPr="003D0AE2">
        <w:rPr>
          <w:rFonts w:ascii="仿宋_GB2312" w:eastAsia="仿宋_GB2312" w:hAnsi="仿宋_GB2312" w:hint="eastAsia"/>
          <w:sz w:val="32"/>
          <w:szCs w:val="32"/>
        </w:rPr>
        <w:t>资</w:t>
      </w:r>
      <w:r w:rsidRPr="003D0AE2">
        <w:rPr>
          <w:rFonts w:ascii="仿宋_GB2312" w:eastAsia="仿宋_GB2312" w:hAnsi="仿宋_GB2312"/>
          <w:sz w:val="32"/>
          <w:szCs w:val="32"/>
        </w:rPr>
        <w:t>处</w:t>
      </w:r>
      <w:r w:rsidR="00CA717B" w:rsidRPr="003D0AE2">
        <w:rPr>
          <w:rFonts w:ascii="仿宋_GB2312" w:eastAsia="仿宋_GB2312" w:hAnsi="仿宋_GB2312" w:hint="eastAsia"/>
          <w:sz w:val="32"/>
          <w:szCs w:val="32"/>
        </w:rPr>
        <w:t>、保卫</w:t>
      </w:r>
      <w:r w:rsidR="00CA717B" w:rsidRPr="003D0AE2">
        <w:rPr>
          <w:rFonts w:ascii="仿宋_GB2312" w:eastAsia="仿宋_GB2312" w:hAnsi="仿宋_GB2312"/>
          <w:sz w:val="32"/>
          <w:szCs w:val="32"/>
        </w:rPr>
        <w:t>处</w:t>
      </w:r>
      <w:r w:rsidRPr="003D0AE2">
        <w:rPr>
          <w:rFonts w:ascii="仿宋_GB2312" w:eastAsia="仿宋_GB2312" w:hAnsi="仿宋_GB2312"/>
          <w:sz w:val="32"/>
          <w:szCs w:val="32"/>
        </w:rPr>
        <w:t>等职能部门联动配合，在学籍保留、学费代偿、政审材料审核等环节实现无缝衔接。组建由</w:t>
      </w:r>
      <w:r w:rsidRPr="003D0AE2">
        <w:rPr>
          <w:rFonts w:ascii="仿宋_GB2312" w:eastAsia="仿宋_GB2312" w:hAnsi="仿宋_GB2312" w:hint="eastAsia"/>
          <w:sz w:val="32"/>
          <w:szCs w:val="32"/>
        </w:rPr>
        <w:t>6</w:t>
      </w:r>
      <w:r w:rsidRPr="003D0AE2">
        <w:rPr>
          <w:rFonts w:ascii="仿宋_GB2312" w:eastAsia="仿宋_GB2312" w:hAnsi="仿宋_GB2312"/>
          <w:sz w:val="32"/>
          <w:szCs w:val="32"/>
        </w:rPr>
        <w:t>名辅导员、</w:t>
      </w:r>
      <w:r w:rsidRPr="003D0AE2">
        <w:rPr>
          <w:rFonts w:ascii="仿宋_GB2312" w:eastAsia="仿宋_GB2312" w:hAnsi="仿宋_GB2312" w:hint="eastAsia"/>
          <w:sz w:val="32"/>
          <w:szCs w:val="32"/>
        </w:rPr>
        <w:t>“八一”社团学生代表</w:t>
      </w:r>
      <w:r w:rsidRPr="003D0AE2">
        <w:rPr>
          <w:rFonts w:ascii="仿宋_GB2312" w:eastAsia="仿宋_GB2312" w:hAnsi="仿宋_GB2312"/>
          <w:sz w:val="32"/>
          <w:szCs w:val="32"/>
        </w:rPr>
        <w:t>组成的兼职征兵工作队伍，确保政策传达不衰减、任务</w:t>
      </w:r>
      <w:r w:rsidRPr="003D0AE2">
        <w:rPr>
          <w:rFonts w:ascii="仿宋_GB2312" w:eastAsia="仿宋_GB2312" w:hAnsi="仿宋_GB2312" w:hint="eastAsia"/>
          <w:sz w:val="32"/>
          <w:szCs w:val="32"/>
        </w:rPr>
        <w:t>落实</w:t>
      </w:r>
      <w:r w:rsidRPr="003D0AE2">
        <w:rPr>
          <w:rFonts w:ascii="仿宋_GB2312" w:eastAsia="仿宋_GB2312" w:hAnsi="仿宋_GB2312"/>
          <w:sz w:val="32"/>
          <w:szCs w:val="32"/>
        </w:rPr>
        <w:t>无温差，形成“上下贯通、左右协同”的工作格局。</w:t>
      </w:r>
      <w:r w:rsidRPr="003D0AE2">
        <w:rPr>
          <w:rFonts w:ascii="Cambria Math" w:eastAsia="仿宋_GB2312" w:hAnsi="Cambria Math" w:cs="Cambria Math"/>
          <w:sz w:val="32"/>
          <w:szCs w:val="32"/>
        </w:rPr>
        <w:t>​</w:t>
      </w:r>
    </w:p>
    <w:p w:rsidR="002B789C" w:rsidRPr="003D0AE2" w:rsidRDefault="003D0AE2" w:rsidP="003D0AE2">
      <w:pPr>
        <w:adjustRightInd w:val="0"/>
        <w:ind w:firstLineChars="200" w:firstLine="640"/>
        <w:contextualSpacing/>
        <w:rPr>
          <w:rFonts w:ascii="楷体_GB2312" w:eastAsia="楷体_GB2312" w:hAnsi="楷体_GB2312"/>
          <w:sz w:val="32"/>
          <w:szCs w:val="32"/>
        </w:rPr>
      </w:pPr>
      <w:r w:rsidRPr="003D0AE2">
        <w:rPr>
          <w:rFonts w:ascii="楷体_GB2312" w:eastAsia="楷体_GB2312" w:hAnsi="楷体_GB2312" w:hint="eastAsia"/>
          <w:sz w:val="32"/>
          <w:szCs w:val="32"/>
        </w:rPr>
        <w:t>（二）</w:t>
      </w:r>
      <w:r w:rsidR="002B789C" w:rsidRPr="003D0AE2">
        <w:rPr>
          <w:rFonts w:ascii="楷体_GB2312" w:eastAsia="楷体_GB2312" w:hAnsi="楷体_GB2312"/>
          <w:sz w:val="32"/>
          <w:szCs w:val="32"/>
        </w:rPr>
        <w:t>创新宣传矩阵，实现动员精准滴灌</w:t>
      </w:r>
      <w:r w:rsidR="002B789C" w:rsidRPr="003D0AE2">
        <w:rPr>
          <w:rFonts w:ascii="Cambria Math" w:eastAsia="楷体_GB2312" w:hAnsi="Cambria Math" w:cs="Cambria Math"/>
          <w:sz w:val="32"/>
          <w:szCs w:val="32"/>
        </w:rPr>
        <w:t>​</w:t>
      </w:r>
    </w:p>
    <w:p w:rsidR="002B789C" w:rsidRDefault="002B789C" w:rsidP="003D0AE2">
      <w:pPr>
        <w:adjustRightInd w:val="0"/>
        <w:ind w:firstLineChars="200" w:firstLine="640"/>
        <w:contextualSpacing/>
        <w:rPr>
          <w:rFonts w:ascii="Cambria Math" w:eastAsia="仿宋_GB2312" w:hAnsi="Cambria Math" w:cs="Cambria Math"/>
          <w:sz w:val="32"/>
          <w:szCs w:val="32"/>
        </w:rPr>
      </w:pPr>
      <w:r w:rsidRPr="003D0AE2">
        <w:rPr>
          <w:rFonts w:ascii="仿宋_GB2312" w:eastAsia="仿宋_GB2312" w:hAnsi="仿宋_GB2312"/>
          <w:sz w:val="32"/>
          <w:szCs w:val="32"/>
        </w:rPr>
        <w:t>针对不同学生群体需求，</w:t>
      </w:r>
      <w:r w:rsidRPr="003D0AE2">
        <w:rPr>
          <w:rFonts w:ascii="仿宋_GB2312" w:eastAsia="仿宋_GB2312" w:hAnsi="仿宋_GB2312" w:hint="eastAsia"/>
          <w:sz w:val="32"/>
          <w:szCs w:val="32"/>
        </w:rPr>
        <w:t>学</w:t>
      </w:r>
      <w:r w:rsidRPr="003D0AE2">
        <w:rPr>
          <w:rFonts w:ascii="仿宋_GB2312" w:eastAsia="仿宋_GB2312" w:hAnsi="仿宋_GB2312"/>
          <w:sz w:val="32"/>
          <w:szCs w:val="32"/>
        </w:rPr>
        <w:t>院打造“全方位、立体化、</w:t>
      </w:r>
      <w:r w:rsidRPr="003D0AE2">
        <w:rPr>
          <w:rFonts w:ascii="仿宋_GB2312" w:eastAsia="仿宋_GB2312" w:hAnsi="仿宋_GB2312"/>
          <w:sz w:val="32"/>
          <w:szCs w:val="32"/>
        </w:rPr>
        <w:lastRenderedPageBreak/>
        <w:t>沉浸式”宣传体系，破解“大水漫灌”难题。线上依托微信公众号、短视频平台推出“政策解读微课堂”系列内容，制作《大学生入伍政策</w:t>
      </w:r>
      <w:r w:rsidRPr="003D0AE2">
        <w:rPr>
          <w:rFonts w:ascii="仿宋_GB2312" w:eastAsia="仿宋_GB2312" w:hAnsi="仿宋_GB2312" w:hint="eastAsia"/>
          <w:sz w:val="32"/>
          <w:szCs w:val="32"/>
        </w:rPr>
        <w:t>宣传单</w:t>
      </w:r>
      <w:r w:rsidRPr="003D0AE2">
        <w:rPr>
          <w:rFonts w:ascii="仿宋_GB2312" w:eastAsia="仿宋_GB2312" w:hAnsi="仿宋_GB2312"/>
          <w:sz w:val="32"/>
          <w:szCs w:val="32"/>
        </w:rPr>
        <w:t>》图解，点击量累计超万次；线下开展“征兵宣传周”活动，在食堂、宿舍区设置宣传展台，悬挂“携笔从戎展风采 青春报国正当时”等标语，发放宣传手册</w:t>
      </w:r>
      <w:r w:rsidR="005B7CDB" w:rsidRPr="003D0AE2">
        <w:rPr>
          <w:rFonts w:ascii="仿宋_GB2312" w:eastAsia="仿宋_GB2312" w:hAnsi="仿宋_GB2312" w:hint="eastAsia"/>
          <w:sz w:val="32"/>
          <w:szCs w:val="32"/>
        </w:rPr>
        <w:t>5</w:t>
      </w:r>
      <w:r w:rsidRPr="003D0AE2">
        <w:rPr>
          <w:rFonts w:ascii="仿宋_GB2312" w:eastAsia="仿宋_GB2312" w:hAnsi="仿宋_GB2312" w:hint="eastAsia"/>
          <w:sz w:val="32"/>
          <w:szCs w:val="32"/>
        </w:rPr>
        <w:t>000</w:t>
      </w:r>
      <w:r w:rsidRPr="003D0AE2">
        <w:rPr>
          <w:rFonts w:ascii="仿宋_GB2312" w:eastAsia="仿宋_GB2312" w:hAnsi="仿宋_GB2312"/>
          <w:sz w:val="32"/>
          <w:szCs w:val="32"/>
        </w:rPr>
        <w:t>余份。</w:t>
      </w:r>
      <w:r w:rsidRPr="003D0AE2">
        <w:rPr>
          <w:rFonts w:ascii="Cambria Math" w:eastAsia="仿宋_GB2312" w:hAnsi="Cambria Math" w:cs="Cambria Math"/>
          <w:sz w:val="32"/>
          <w:szCs w:val="32"/>
        </w:rPr>
        <w:t>​</w:t>
      </w:r>
      <w:r w:rsidRPr="003D0AE2">
        <w:rPr>
          <w:rFonts w:ascii="仿宋_GB2312" w:eastAsia="仿宋_GB2312" w:hAnsi="仿宋_GB2312"/>
          <w:sz w:val="32"/>
          <w:szCs w:val="32"/>
        </w:rPr>
        <w:t>创新推出“朋辈宣讲进宿舍”特色活动，邀请</w:t>
      </w:r>
      <w:r w:rsidR="00CA717B" w:rsidRPr="003D0AE2">
        <w:rPr>
          <w:rFonts w:ascii="仿宋_GB2312" w:eastAsia="仿宋_GB2312" w:hAnsi="仿宋_GB2312" w:hint="eastAsia"/>
          <w:sz w:val="32"/>
          <w:szCs w:val="32"/>
        </w:rPr>
        <w:t>20余</w:t>
      </w:r>
      <w:r w:rsidRPr="003D0AE2">
        <w:rPr>
          <w:rFonts w:ascii="仿宋_GB2312" w:eastAsia="仿宋_GB2312" w:hAnsi="仿宋_GB2312"/>
          <w:sz w:val="32"/>
          <w:szCs w:val="32"/>
        </w:rPr>
        <w:t>名退役复学学生担任“军营导航员”</w:t>
      </w:r>
      <w:r w:rsidRPr="003D0AE2">
        <w:rPr>
          <w:rFonts w:ascii="仿宋_GB2312" w:eastAsia="仿宋_GB2312" w:hAnsi="仿宋_GB2312" w:hint="eastAsia"/>
          <w:sz w:val="32"/>
          <w:szCs w:val="32"/>
        </w:rPr>
        <w:t>，</w:t>
      </w:r>
      <w:r w:rsidRPr="003D0AE2">
        <w:rPr>
          <w:rFonts w:ascii="仿宋_GB2312" w:eastAsia="仿宋_GB2312" w:hAnsi="仿宋_GB2312"/>
          <w:sz w:val="32"/>
          <w:szCs w:val="32"/>
        </w:rPr>
        <w:t>走进宿舍分享服役经历，现场演示军被整理、士兵提干等政策，用身边故事替代刻板说教，覆盖学生</w:t>
      </w:r>
      <w:r w:rsidR="005B7CDB" w:rsidRPr="003D0AE2">
        <w:rPr>
          <w:rFonts w:ascii="仿宋_GB2312" w:eastAsia="仿宋_GB2312" w:hAnsi="仿宋_GB2312" w:hint="eastAsia"/>
          <w:sz w:val="32"/>
          <w:szCs w:val="32"/>
        </w:rPr>
        <w:t>6</w:t>
      </w:r>
      <w:r w:rsidRPr="003D0AE2">
        <w:rPr>
          <w:rFonts w:ascii="仿宋_GB2312" w:eastAsia="仿宋_GB2312" w:hAnsi="仿宋_GB2312"/>
          <w:sz w:val="32"/>
          <w:szCs w:val="32"/>
        </w:rPr>
        <w:t>000余人次。同时举办 “爱我国防”演讲比赛等活动，挖掘</w:t>
      </w:r>
      <w:r w:rsidRPr="003D0AE2">
        <w:rPr>
          <w:rFonts w:ascii="仿宋_GB2312" w:eastAsia="仿宋_GB2312" w:hAnsi="仿宋_GB2312" w:hint="eastAsia"/>
          <w:sz w:val="32"/>
          <w:szCs w:val="32"/>
        </w:rPr>
        <w:t>典</w:t>
      </w:r>
      <w:r w:rsidRPr="003D0AE2">
        <w:rPr>
          <w:rFonts w:ascii="仿宋_GB2312" w:eastAsia="仿宋_GB2312" w:hAnsi="仿宋_GB2312"/>
          <w:sz w:val="32"/>
          <w:szCs w:val="32"/>
        </w:rPr>
        <w:t>型事迹，通过校园广播、专题报告会广泛传播，营造“参军光荣、报国可敬”的浓厚氛围。</w:t>
      </w:r>
      <w:r w:rsidRPr="003D0AE2">
        <w:rPr>
          <w:rFonts w:ascii="Cambria Math" w:eastAsia="仿宋_GB2312" w:hAnsi="Cambria Math" w:cs="Cambria Math"/>
          <w:sz w:val="32"/>
          <w:szCs w:val="32"/>
        </w:rPr>
        <w:t>​</w:t>
      </w:r>
    </w:p>
    <w:p w:rsidR="003D0AE2" w:rsidRDefault="003D0AE2" w:rsidP="003D0AE2">
      <w:pPr>
        <w:adjustRightInd w:val="0"/>
        <w:contextualSpacing/>
        <w:rPr>
          <w:rFonts w:ascii="仿宋_GB2312" w:eastAsia="仿宋_GB2312" w:hAnsi="仿宋_GB2312"/>
          <w:sz w:val="32"/>
          <w:szCs w:val="32"/>
        </w:rPr>
      </w:pPr>
      <w:r>
        <w:rPr>
          <w:rFonts w:ascii="仿宋_GB2312" w:eastAsia="仿宋_GB2312" w:hAnsi="仿宋_GB2312" w:hint="eastAsia"/>
          <w:noProof/>
          <w:sz w:val="32"/>
          <w:szCs w:val="32"/>
        </w:rPr>
        <w:drawing>
          <wp:inline distT="0" distB="0" distL="0" distR="0">
            <wp:extent cx="5270500" cy="3510915"/>
            <wp:effectExtent l="0" t="0" r="0" b="0"/>
            <wp:docPr id="1074676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67692" name="图片 107467692"/>
                    <pic:cNvPicPr/>
                  </pic:nvPicPr>
                  <pic:blipFill>
                    <a:blip r:embed="rId4" cstate="print">
                      <a:extLst>
                        <a:ext uri="{28A0092B-C50C-407E-A947-70E740481C1C}">
                          <a14:useLocalDpi xmlns:a14="http://schemas.microsoft.com/office/drawing/2010/main" val="0"/>
                        </a:ext>
                      </a:extLst>
                    </a:blip>
                    <a:stretch>
                      <a:fillRect/>
                    </a:stretch>
                  </pic:blipFill>
                  <pic:spPr>
                    <a:xfrm>
                      <a:off x="0" y="0"/>
                      <a:ext cx="5270500" cy="3510915"/>
                    </a:xfrm>
                    <a:prstGeom prst="rect">
                      <a:avLst/>
                    </a:prstGeom>
                  </pic:spPr>
                </pic:pic>
              </a:graphicData>
            </a:graphic>
          </wp:inline>
        </w:drawing>
      </w:r>
    </w:p>
    <w:p w:rsidR="003D0AE2" w:rsidRPr="003D0AE2" w:rsidRDefault="003D0AE2" w:rsidP="003D0AE2">
      <w:pPr>
        <w:adjustRightInd w:val="0"/>
        <w:contextualSpacing/>
        <w:jc w:val="center"/>
        <w:rPr>
          <w:rFonts w:ascii="仿宋_GB2312" w:eastAsia="仿宋_GB2312" w:hAnsi="仿宋_GB2312" w:hint="eastAsia"/>
          <w:szCs w:val="21"/>
        </w:rPr>
      </w:pPr>
      <w:r w:rsidRPr="003D0AE2">
        <w:rPr>
          <w:rFonts w:ascii="仿宋_GB2312" w:eastAsia="仿宋_GB2312" w:hAnsi="仿宋_GB2312" w:hint="eastAsia"/>
          <w:szCs w:val="21"/>
        </w:rPr>
        <w:t>图1 征兵宣传</w:t>
      </w:r>
    </w:p>
    <w:p w:rsidR="002B789C" w:rsidRPr="003D0AE2" w:rsidRDefault="003D0AE2" w:rsidP="003D0AE2">
      <w:pPr>
        <w:adjustRightInd w:val="0"/>
        <w:ind w:firstLineChars="200" w:firstLine="640"/>
        <w:contextualSpacing/>
        <w:rPr>
          <w:rFonts w:ascii="楷体_GB2312" w:eastAsia="楷体_GB2312" w:hAnsi="楷体_GB2312"/>
          <w:sz w:val="32"/>
          <w:szCs w:val="32"/>
        </w:rPr>
      </w:pPr>
      <w:r w:rsidRPr="003D0AE2">
        <w:rPr>
          <w:rFonts w:ascii="楷体_GB2312" w:eastAsia="楷体_GB2312" w:hAnsi="楷体_GB2312" w:hint="eastAsia"/>
          <w:sz w:val="32"/>
          <w:szCs w:val="32"/>
        </w:rPr>
        <w:t>（三）</w:t>
      </w:r>
      <w:r w:rsidR="002B789C" w:rsidRPr="003D0AE2">
        <w:rPr>
          <w:rFonts w:ascii="楷体_GB2312" w:eastAsia="楷体_GB2312" w:hAnsi="楷体_GB2312"/>
          <w:sz w:val="32"/>
          <w:szCs w:val="32"/>
        </w:rPr>
        <w:t>聚焦关键环节，提供全周期暖心服务</w:t>
      </w:r>
      <w:r w:rsidR="002B789C" w:rsidRPr="003D0AE2">
        <w:rPr>
          <w:rFonts w:ascii="Cambria Math" w:eastAsia="楷体_GB2312" w:hAnsi="Cambria Math" w:cs="Cambria Math"/>
          <w:sz w:val="32"/>
          <w:szCs w:val="32"/>
        </w:rPr>
        <w:t>​</w:t>
      </w:r>
    </w:p>
    <w:p w:rsidR="002B789C" w:rsidRDefault="002B789C" w:rsidP="003D0AE2">
      <w:pPr>
        <w:adjustRightInd w:val="0"/>
        <w:ind w:firstLineChars="200" w:firstLine="640"/>
        <w:contextualSpacing/>
        <w:rPr>
          <w:rFonts w:ascii="Cambria Math" w:eastAsia="仿宋_GB2312" w:hAnsi="Cambria Math" w:cs="Cambria Math"/>
          <w:sz w:val="32"/>
          <w:szCs w:val="32"/>
        </w:rPr>
      </w:pPr>
      <w:r w:rsidRPr="003D0AE2">
        <w:rPr>
          <w:rFonts w:ascii="仿宋_GB2312" w:eastAsia="仿宋_GB2312" w:hAnsi="仿宋_GB2312"/>
          <w:sz w:val="32"/>
          <w:szCs w:val="32"/>
        </w:rPr>
        <w:lastRenderedPageBreak/>
        <w:t>坚持“以学生为中心”，构建从报名到退役的全流程服务链条。设立征兵服务站“一站式”窗口，开通24小时咨询热线，安排专人负责报名指导、体检提醒、政审材料预审等工作</w:t>
      </w:r>
      <w:r w:rsidR="00CA717B" w:rsidRPr="003D0AE2">
        <w:rPr>
          <w:rFonts w:ascii="仿宋_GB2312" w:eastAsia="仿宋_GB2312" w:hAnsi="仿宋_GB2312" w:hint="eastAsia"/>
          <w:sz w:val="32"/>
          <w:szCs w:val="32"/>
        </w:rPr>
        <w:t>。</w:t>
      </w:r>
      <w:r w:rsidRPr="003D0AE2">
        <w:rPr>
          <w:rFonts w:ascii="仿宋_GB2312" w:eastAsia="仿宋_GB2312" w:hAnsi="仿宋_GB2312"/>
          <w:sz w:val="32"/>
          <w:szCs w:val="32"/>
        </w:rPr>
        <w:t>对家庭困难学生重点解读入伍资助政策，</w:t>
      </w:r>
      <w:r w:rsidR="00B10E87" w:rsidRPr="003D0AE2">
        <w:rPr>
          <w:rFonts w:ascii="仿宋_GB2312" w:eastAsia="仿宋_GB2312" w:hAnsi="仿宋_GB2312" w:hint="eastAsia"/>
          <w:sz w:val="32"/>
          <w:szCs w:val="32"/>
        </w:rPr>
        <w:t>近两年</w:t>
      </w:r>
      <w:r w:rsidRPr="003D0AE2">
        <w:rPr>
          <w:rFonts w:ascii="仿宋_GB2312" w:eastAsia="仿宋_GB2312" w:hAnsi="仿宋_GB2312"/>
          <w:sz w:val="32"/>
          <w:szCs w:val="32"/>
        </w:rPr>
        <w:t>协助办理学费补偿申请</w:t>
      </w:r>
      <w:r w:rsidR="00B10E87" w:rsidRPr="003D0AE2">
        <w:rPr>
          <w:rFonts w:ascii="仿宋_GB2312" w:eastAsia="仿宋_GB2312" w:hAnsi="仿宋_GB2312" w:hint="eastAsia"/>
          <w:sz w:val="32"/>
          <w:szCs w:val="32"/>
        </w:rPr>
        <w:t>600余</w:t>
      </w:r>
      <w:r w:rsidRPr="003D0AE2">
        <w:rPr>
          <w:rFonts w:ascii="仿宋_GB2312" w:eastAsia="仿宋_GB2312" w:hAnsi="仿宋_GB2312"/>
          <w:sz w:val="32"/>
          <w:szCs w:val="32"/>
        </w:rPr>
        <w:t>人次，解决后顾之忧。</w:t>
      </w:r>
      <w:r w:rsidRPr="003D0AE2">
        <w:rPr>
          <w:rFonts w:ascii="Cambria Math" w:eastAsia="仿宋_GB2312" w:hAnsi="Cambria Math" w:cs="Cambria Math"/>
          <w:sz w:val="32"/>
          <w:szCs w:val="32"/>
        </w:rPr>
        <w:t>​</w:t>
      </w:r>
      <w:r w:rsidRPr="003D0AE2">
        <w:rPr>
          <w:rFonts w:ascii="仿宋_GB2312" w:eastAsia="仿宋_GB2312" w:hAnsi="仿宋_GB2312"/>
          <w:sz w:val="32"/>
          <w:szCs w:val="32"/>
        </w:rPr>
        <w:t>在役前训练阶段，组织入伍学生及家长召开座谈会，</w:t>
      </w:r>
      <w:r w:rsidR="00CA717B" w:rsidRPr="003D0AE2">
        <w:rPr>
          <w:rFonts w:ascii="仿宋_GB2312" w:eastAsia="仿宋_GB2312" w:hAnsi="仿宋_GB2312" w:hint="eastAsia"/>
          <w:sz w:val="32"/>
          <w:szCs w:val="32"/>
        </w:rPr>
        <w:t>学院党委书记</w:t>
      </w:r>
      <w:r w:rsidRPr="003D0AE2">
        <w:rPr>
          <w:rFonts w:ascii="仿宋_GB2312" w:eastAsia="仿宋_GB2312" w:hAnsi="仿宋_GB2312"/>
          <w:sz w:val="32"/>
          <w:szCs w:val="32"/>
        </w:rPr>
        <w:t>领导亲自送行并赠送“成长礼包”</w:t>
      </w:r>
      <w:r w:rsidR="00CA717B" w:rsidRPr="003D0AE2">
        <w:rPr>
          <w:rFonts w:ascii="仿宋_GB2312" w:eastAsia="仿宋_GB2312" w:hAnsi="仿宋_GB2312" w:hint="eastAsia"/>
          <w:sz w:val="32"/>
          <w:szCs w:val="32"/>
        </w:rPr>
        <w:t>。</w:t>
      </w:r>
      <w:r w:rsidRPr="003D0AE2">
        <w:rPr>
          <w:rFonts w:ascii="仿宋_GB2312" w:eastAsia="仿宋_GB2312" w:hAnsi="仿宋_GB2312"/>
          <w:sz w:val="32"/>
          <w:szCs w:val="32"/>
        </w:rPr>
        <w:t>建立现役学生跟踪档案，</w:t>
      </w:r>
      <w:r w:rsidR="00CA717B" w:rsidRPr="003D0AE2">
        <w:rPr>
          <w:rFonts w:ascii="仿宋_GB2312" w:eastAsia="仿宋_GB2312" w:hAnsi="仿宋_GB2312" w:hint="eastAsia"/>
          <w:sz w:val="32"/>
          <w:szCs w:val="32"/>
        </w:rPr>
        <w:t>定期</w:t>
      </w:r>
      <w:r w:rsidRPr="003D0AE2">
        <w:rPr>
          <w:rFonts w:ascii="仿宋_GB2312" w:eastAsia="仿宋_GB2312" w:hAnsi="仿宋_GB2312"/>
          <w:sz w:val="32"/>
          <w:szCs w:val="32"/>
        </w:rPr>
        <w:t>了解训练生活情况。针对退役复学学生，</w:t>
      </w:r>
      <w:r w:rsidR="00CA717B" w:rsidRPr="003D0AE2">
        <w:rPr>
          <w:rFonts w:ascii="仿宋_GB2312" w:eastAsia="仿宋_GB2312" w:hAnsi="仿宋_GB2312" w:hint="eastAsia"/>
          <w:sz w:val="32"/>
          <w:szCs w:val="32"/>
        </w:rPr>
        <w:t>建立</w:t>
      </w:r>
      <w:r w:rsidRPr="003D0AE2">
        <w:rPr>
          <w:rFonts w:ascii="仿宋_GB2312" w:eastAsia="仿宋_GB2312" w:hAnsi="仿宋_GB2312"/>
          <w:sz w:val="32"/>
          <w:szCs w:val="32"/>
        </w:rPr>
        <w:t>学业帮扶</w:t>
      </w:r>
      <w:r w:rsidR="00CA717B" w:rsidRPr="003D0AE2">
        <w:rPr>
          <w:rFonts w:ascii="仿宋_GB2312" w:eastAsia="仿宋_GB2312" w:hAnsi="仿宋_GB2312" w:hint="eastAsia"/>
          <w:sz w:val="32"/>
          <w:szCs w:val="32"/>
        </w:rPr>
        <w:t>机制</w:t>
      </w:r>
      <w:r w:rsidRPr="003D0AE2">
        <w:rPr>
          <w:rFonts w:ascii="仿宋_GB2312" w:eastAsia="仿宋_GB2312" w:hAnsi="仿宋_GB2312"/>
          <w:sz w:val="32"/>
          <w:szCs w:val="32"/>
        </w:rPr>
        <w:t>，协调专业课教师进行补课辅导，帮助快速适应校园生活，形成“入伍有人送、在役有人管、退役有人接”的闭环服务体系。</w:t>
      </w:r>
      <w:r w:rsidRPr="003D0AE2">
        <w:rPr>
          <w:rFonts w:ascii="Cambria Math" w:eastAsia="仿宋_GB2312" w:hAnsi="Cambria Math" w:cs="Cambria Math"/>
          <w:sz w:val="32"/>
          <w:szCs w:val="32"/>
        </w:rPr>
        <w:t>​</w:t>
      </w:r>
    </w:p>
    <w:p w:rsidR="003D0AE2" w:rsidRDefault="003D0AE2" w:rsidP="003D0AE2">
      <w:pPr>
        <w:adjustRightInd w:val="0"/>
        <w:contextualSpacing/>
      </w:pPr>
      <w:r>
        <w:fldChar w:fldCharType="begin"/>
      </w:r>
      <w:r>
        <w:instrText xml:space="preserve"> INCLUDEPICTURE "https://www.scitc.edu.cn/_img/scitc/2024/09/20/2024092019470795132.jpg" \* MERGEFORMATINET </w:instrText>
      </w:r>
      <w:r>
        <w:fldChar w:fldCharType="separate"/>
      </w:r>
      <w:r>
        <w:rPr>
          <w:noProof/>
        </w:rPr>
        <w:drawing>
          <wp:inline distT="0" distB="0" distL="0" distR="0">
            <wp:extent cx="5270500" cy="3513455"/>
            <wp:effectExtent l="0" t="0" r="0" b="4445"/>
            <wp:docPr id="5777731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270500" cy="3513455"/>
                    </a:xfrm>
                    <a:prstGeom prst="rect">
                      <a:avLst/>
                    </a:prstGeom>
                    <a:noFill/>
                    <a:ln>
                      <a:noFill/>
                    </a:ln>
                  </pic:spPr>
                </pic:pic>
              </a:graphicData>
            </a:graphic>
          </wp:inline>
        </w:drawing>
      </w:r>
      <w:r>
        <w:fldChar w:fldCharType="end"/>
      </w:r>
    </w:p>
    <w:p w:rsidR="003D0AE2" w:rsidRPr="003D0AE2" w:rsidRDefault="003D0AE2" w:rsidP="003D0AE2">
      <w:pPr>
        <w:adjustRightInd w:val="0"/>
        <w:contextualSpacing/>
        <w:jc w:val="center"/>
        <w:rPr>
          <w:rFonts w:ascii="仿宋" w:eastAsia="仿宋" w:hAnsi="仿宋" w:hint="eastAsia"/>
          <w:sz w:val="32"/>
          <w:szCs w:val="32"/>
        </w:rPr>
      </w:pPr>
      <w:r w:rsidRPr="003D0AE2">
        <w:rPr>
          <w:rFonts w:ascii="仿宋" w:eastAsia="仿宋" w:hAnsi="仿宋" w:hint="eastAsia"/>
        </w:rPr>
        <w:t>图2 新兵入伍欢送会</w:t>
      </w:r>
    </w:p>
    <w:p w:rsidR="002B789C" w:rsidRPr="003D0AE2" w:rsidRDefault="003D0AE2" w:rsidP="003D0AE2">
      <w:pPr>
        <w:adjustRightInd w:val="0"/>
        <w:ind w:firstLineChars="200" w:firstLine="640"/>
        <w:contextualSpacing/>
        <w:rPr>
          <w:rFonts w:ascii="黑体" w:eastAsia="黑体" w:hAnsi="黑体"/>
          <w:sz w:val="32"/>
          <w:szCs w:val="32"/>
        </w:rPr>
      </w:pPr>
      <w:r>
        <w:rPr>
          <w:rFonts w:ascii="黑体" w:eastAsia="黑体" w:hAnsi="黑体" w:hint="eastAsia"/>
          <w:sz w:val="32"/>
          <w:szCs w:val="32"/>
        </w:rPr>
        <w:t>（四）</w:t>
      </w:r>
      <w:r w:rsidR="002B789C" w:rsidRPr="003D0AE2">
        <w:rPr>
          <w:rFonts w:ascii="黑体" w:eastAsia="黑体" w:hAnsi="黑体"/>
          <w:sz w:val="32"/>
          <w:szCs w:val="32"/>
        </w:rPr>
        <w:t>深化国防教育，筑牢长期育人根基</w:t>
      </w:r>
      <w:r w:rsidR="002B789C" w:rsidRPr="003D0AE2">
        <w:rPr>
          <w:rFonts w:ascii="Cambria Math" w:eastAsia="黑体" w:hAnsi="Cambria Math" w:cs="Cambria Math"/>
          <w:sz w:val="32"/>
          <w:szCs w:val="32"/>
        </w:rPr>
        <w:t>​</w:t>
      </w:r>
    </w:p>
    <w:p w:rsidR="002B789C" w:rsidRDefault="002B789C" w:rsidP="003D0AE2">
      <w:pPr>
        <w:adjustRightInd w:val="0"/>
        <w:ind w:firstLineChars="200" w:firstLine="640"/>
        <w:contextualSpacing/>
        <w:rPr>
          <w:rFonts w:ascii="Cambria Math" w:eastAsia="仿宋_GB2312" w:hAnsi="Cambria Math" w:cs="Cambria Math"/>
          <w:sz w:val="32"/>
          <w:szCs w:val="32"/>
        </w:rPr>
      </w:pPr>
      <w:r w:rsidRPr="003D0AE2">
        <w:rPr>
          <w:rFonts w:ascii="仿宋_GB2312" w:eastAsia="仿宋_GB2312" w:hAnsi="仿宋_GB2312"/>
          <w:sz w:val="32"/>
          <w:szCs w:val="32"/>
        </w:rPr>
        <w:t>将国防教育融入人才培养全过程，将军事技能训练、国</w:t>
      </w:r>
      <w:r w:rsidRPr="003D0AE2">
        <w:rPr>
          <w:rFonts w:ascii="仿宋_GB2312" w:eastAsia="仿宋_GB2312" w:hAnsi="仿宋_GB2312"/>
          <w:sz w:val="32"/>
          <w:szCs w:val="32"/>
        </w:rPr>
        <w:lastRenderedPageBreak/>
        <w:t>防专题讲座纳入必修课学分。组建“八一社团”，由退役大学生担任骨干，开展红色电影展映、战术模拟训练等活动</w:t>
      </w:r>
      <w:r w:rsidR="00CA717B" w:rsidRPr="003D0AE2">
        <w:rPr>
          <w:rFonts w:ascii="仿宋_GB2312" w:eastAsia="仿宋_GB2312" w:hAnsi="仿宋_GB2312" w:hint="eastAsia"/>
          <w:sz w:val="32"/>
          <w:szCs w:val="32"/>
        </w:rPr>
        <w:t>20</w:t>
      </w:r>
      <w:r w:rsidRPr="003D0AE2">
        <w:rPr>
          <w:rFonts w:ascii="仿宋_GB2312" w:eastAsia="仿宋_GB2312" w:hAnsi="仿宋_GB2312"/>
          <w:sz w:val="32"/>
          <w:szCs w:val="32"/>
        </w:rPr>
        <w:t>余场，</w:t>
      </w:r>
      <w:r w:rsidR="00CA717B" w:rsidRPr="003D0AE2">
        <w:rPr>
          <w:rFonts w:ascii="仿宋_GB2312" w:eastAsia="仿宋_GB2312" w:hAnsi="仿宋_GB2312" w:hint="eastAsia"/>
          <w:sz w:val="32"/>
          <w:szCs w:val="32"/>
        </w:rPr>
        <w:t>累计</w:t>
      </w:r>
      <w:r w:rsidRPr="003D0AE2">
        <w:rPr>
          <w:rFonts w:ascii="仿宋_GB2312" w:eastAsia="仿宋_GB2312" w:hAnsi="仿宋_GB2312"/>
          <w:sz w:val="32"/>
          <w:szCs w:val="32"/>
        </w:rPr>
        <w:t>吸纳会员300余人。在新生入学环节，将征兵政策宣传单纳入录取通知书，通过军训动员、军事理论第一课开展早期引导，从源头激发爱国参军热情。</w:t>
      </w:r>
      <w:r w:rsidRPr="003D0AE2">
        <w:rPr>
          <w:rFonts w:ascii="Cambria Math" w:eastAsia="仿宋_GB2312" w:hAnsi="Cambria Math" w:cs="Cambria Math"/>
          <w:sz w:val="32"/>
          <w:szCs w:val="32"/>
        </w:rPr>
        <w:t>​</w:t>
      </w:r>
    </w:p>
    <w:p w:rsidR="003D0AE2" w:rsidRDefault="00A55F3F" w:rsidP="003D0AE2">
      <w:pPr>
        <w:adjustRightInd w:val="0"/>
        <w:contextualSpacing/>
      </w:pPr>
      <w:r>
        <w:fldChar w:fldCharType="begin"/>
      </w:r>
      <w:r>
        <w:instrText xml:space="preserve"> INCLUDEPICTURE "https://www.scitc.edu.cn/_img/scitc/2025/09/29/2025092919293160521.png" \* MERGEFORMATINET </w:instrText>
      </w:r>
      <w:r>
        <w:fldChar w:fldCharType="separate"/>
      </w:r>
      <w:r>
        <w:rPr>
          <w:noProof/>
        </w:rPr>
        <w:drawing>
          <wp:inline distT="0" distB="0" distL="0" distR="0">
            <wp:extent cx="5270500" cy="3513455"/>
            <wp:effectExtent l="0" t="0" r="0" b="4445"/>
            <wp:docPr id="10918433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70500" cy="3513455"/>
                    </a:xfrm>
                    <a:prstGeom prst="rect">
                      <a:avLst/>
                    </a:prstGeom>
                    <a:noFill/>
                    <a:ln>
                      <a:noFill/>
                    </a:ln>
                  </pic:spPr>
                </pic:pic>
              </a:graphicData>
            </a:graphic>
          </wp:inline>
        </w:drawing>
      </w:r>
      <w:r>
        <w:fldChar w:fldCharType="end"/>
      </w:r>
    </w:p>
    <w:p w:rsidR="00A55F3F" w:rsidRPr="00A55F3F" w:rsidRDefault="00A55F3F" w:rsidP="00A55F3F">
      <w:pPr>
        <w:adjustRightInd w:val="0"/>
        <w:contextualSpacing/>
        <w:jc w:val="center"/>
        <w:rPr>
          <w:rFonts w:ascii="仿宋" w:eastAsia="仿宋" w:hAnsi="仿宋" w:hint="eastAsia"/>
          <w:sz w:val="32"/>
          <w:szCs w:val="32"/>
        </w:rPr>
      </w:pPr>
      <w:r w:rsidRPr="00A55F3F">
        <w:rPr>
          <w:rFonts w:ascii="仿宋" w:eastAsia="仿宋" w:hAnsi="仿宋" w:hint="eastAsia"/>
        </w:rPr>
        <w:t>图3 军事训练</w:t>
      </w:r>
    </w:p>
    <w:p w:rsidR="003D0AE2" w:rsidRPr="003D0AE2" w:rsidRDefault="003D0AE2" w:rsidP="003D0AE2">
      <w:pPr>
        <w:adjustRightInd w:val="0"/>
        <w:ind w:firstLineChars="200" w:firstLine="640"/>
        <w:contextualSpacing/>
        <w:rPr>
          <w:rFonts w:ascii="黑体" w:eastAsia="黑体" w:hAnsi="黑体"/>
          <w:sz w:val="32"/>
          <w:szCs w:val="32"/>
        </w:rPr>
      </w:pPr>
      <w:r w:rsidRPr="003D0AE2">
        <w:rPr>
          <w:rFonts w:ascii="黑体" w:eastAsia="黑体" w:hAnsi="黑体" w:hint="eastAsia"/>
          <w:sz w:val="32"/>
          <w:szCs w:val="32"/>
        </w:rPr>
        <w:t>三、工作总结</w:t>
      </w:r>
    </w:p>
    <w:p w:rsidR="00FA1865" w:rsidRPr="003D0AE2" w:rsidRDefault="00B10E87" w:rsidP="003D0AE2">
      <w:pPr>
        <w:adjustRightInd w:val="0"/>
        <w:ind w:firstLineChars="200" w:firstLine="640"/>
        <w:contextualSpacing/>
        <w:rPr>
          <w:rFonts w:ascii="仿宋_GB2312" w:eastAsia="仿宋_GB2312" w:hAnsi="仿宋_GB2312"/>
          <w:sz w:val="32"/>
          <w:szCs w:val="32"/>
        </w:rPr>
      </w:pPr>
      <w:r w:rsidRPr="003D0AE2">
        <w:rPr>
          <w:rFonts w:ascii="仿宋_GB2312" w:eastAsia="仿宋_GB2312" w:hAnsi="仿宋_GB2312" w:hint="eastAsia"/>
          <w:sz w:val="32"/>
          <w:szCs w:val="32"/>
        </w:rPr>
        <w:t>学</w:t>
      </w:r>
      <w:r w:rsidR="002B789C" w:rsidRPr="003D0AE2">
        <w:rPr>
          <w:rFonts w:ascii="仿宋_GB2312" w:eastAsia="仿宋_GB2312" w:hAnsi="仿宋_GB2312"/>
          <w:sz w:val="32"/>
          <w:szCs w:val="32"/>
        </w:rPr>
        <w:t>院将持续深化“教育引导</w:t>
      </w:r>
      <w:r w:rsidR="00CA717B" w:rsidRPr="003D0AE2">
        <w:rPr>
          <w:rFonts w:ascii="仿宋_GB2312" w:eastAsia="仿宋_GB2312" w:hAnsi="仿宋_GB2312" w:hint="eastAsia"/>
          <w:sz w:val="32"/>
          <w:szCs w:val="32"/>
        </w:rPr>
        <w:t>—</w:t>
      </w:r>
      <w:r w:rsidR="002B789C" w:rsidRPr="003D0AE2">
        <w:rPr>
          <w:rFonts w:ascii="仿宋_GB2312" w:eastAsia="仿宋_GB2312" w:hAnsi="仿宋_GB2312"/>
          <w:sz w:val="32"/>
          <w:szCs w:val="32"/>
        </w:rPr>
        <w:t>精准动员</w:t>
      </w:r>
      <w:r w:rsidR="00CA717B" w:rsidRPr="003D0AE2">
        <w:rPr>
          <w:rFonts w:ascii="仿宋_GB2312" w:eastAsia="仿宋_GB2312" w:hAnsi="仿宋_GB2312" w:hint="eastAsia"/>
          <w:sz w:val="32"/>
          <w:szCs w:val="32"/>
        </w:rPr>
        <w:t>—</w:t>
      </w:r>
      <w:r w:rsidR="002B789C" w:rsidRPr="003D0AE2">
        <w:rPr>
          <w:rFonts w:ascii="仿宋_GB2312" w:eastAsia="仿宋_GB2312" w:hAnsi="仿宋_GB2312"/>
          <w:sz w:val="32"/>
          <w:szCs w:val="32"/>
        </w:rPr>
        <w:t>长效服务”工作模式，完善预征预储机制，拓展军地协同育人路径，力争为国防和军队现代化建设输送更多兼具专业素养与家国情怀的优秀青年，以实际行动践行立德树人根本任务。</w:t>
      </w:r>
    </w:p>
    <w:p w:rsidR="002B789C" w:rsidRPr="003D0AE2" w:rsidRDefault="002B789C" w:rsidP="003D0AE2">
      <w:pPr>
        <w:contextualSpacing/>
        <w:mirrorIndents/>
        <w:jc w:val="left"/>
        <w:rPr>
          <w:rFonts w:ascii="仿宋_GB2312" w:eastAsia="仿宋_GB2312" w:hAnsi="仿宋_GB2312"/>
          <w:sz w:val="32"/>
          <w:szCs w:val="32"/>
        </w:rPr>
      </w:pPr>
    </w:p>
    <w:sectPr w:rsidR="002B789C" w:rsidRPr="003D0AE2" w:rsidSect="00491DB6">
      <w:pgSz w:w="11900" w:h="16840"/>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方正小标宋简体">
    <w:panose1 w:val="03000509000000000000"/>
    <w:charset w:val="86"/>
    <w:family w:val="script"/>
    <w:pitch w:val="variable"/>
    <w:sig w:usb0="00000001" w:usb1="080E0000" w:usb2="00000010" w:usb3="00000000" w:csb0="00040001" w:csb1="00000000"/>
  </w:font>
  <w:font w:name="楷体_GB2312">
    <w:altName w:val="KaiTi_GB2312"/>
    <w:panose1 w:val="020B0604020202020204"/>
    <w:charset w:val="86"/>
    <w:family w:val="modern"/>
    <w:pitch w:val="fixed"/>
    <w:sig w:usb0="00000001" w:usb1="080E0000" w:usb2="00000010"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_GB2312">
    <w:altName w:val="FangSong_GB2312"/>
    <w:panose1 w:val="02010609030101010101"/>
    <w:charset w:val="86"/>
    <w:family w:val="modern"/>
    <w:pitch w:val="fixed"/>
    <w:sig w:usb0="00000001" w:usb1="080E0000" w:usb2="00000010" w:usb3="00000000" w:csb0="00040001" w:csb1="00000000"/>
  </w:font>
  <w:font w:name="Cambria Math">
    <w:panose1 w:val="02040503050406030204"/>
    <w:charset w:val="00"/>
    <w:family w:val="roman"/>
    <w:pitch w:val="variable"/>
    <w:sig w:usb0="E00002FF" w:usb1="420024FF" w:usb2="00000000" w:usb3="00000000" w:csb0="0000019F" w:csb1="00000000"/>
  </w:font>
  <w:font w:name="仿宋">
    <w:panose1 w:val="02010609060101010101"/>
    <w:charset w:val="86"/>
    <w:family w:val="modern"/>
    <w:pitch w:val="fixed"/>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789C"/>
    <w:rsid w:val="00123AEC"/>
    <w:rsid w:val="001A5F6F"/>
    <w:rsid w:val="002B789C"/>
    <w:rsid w:val="002D16F0"/>
    <w:rsid w:val="003D0AE2"/>
    <w:rsid w:val="00491DB6"/>
    <w:rsid w:val="005A6E5B"/>
    <w:rsid w:val="005B7CDB"/>
    <w:rsid w:val="00692E5D"/>
    <w:rsid w:val="009E4684"/>
    <w:rsid w:val="00A4514F"/>
    <w:rsid w:val="00A55F3F"/>
    <w:rsid w:val="00B10E87"/>
    <w:rsid w:val="00B42B3C"/>
    <w:rsid w:val="00CA717B"/>
    <w:rsid w:val="00D95C09"/>
    <w:rsid w:val="00EA36B1"/>
    <w:rsid w:val="00FA18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05B21D7D"/>
  <w15:chartTrackingRefBased/>
  <w15:docId w15:val="{95122C11-33B7-584B-AF1A-1AE0F266DC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2B789C"/>
    <w:pPr>
      <w:keepNext/>
      <w:keepLines/>
      <w:spacing w:before="480" w:after="80"/>
      <w:outlineLvl w:val="0"/>
    </w:pPr>
    <w:rPr>
      <w:rFonts w:asciiTheme="majorHAnsi" w:eastAsiaTheme="majorEastAsia" w:hAnsiTheme="majorHAnsi" w:cstheme="majorBidi"/>
      <w:color w:val="2F5496" w:themeColor="accent1" w:themeShade="BF"/>
      <w:sz w:val="48"/>
      <w:szCs w:val="48"/>
    </w:rPr>
  </w:style>
  <w:style w:type="paragraph" w:styleId="2">
    <w:name w:val="heading 2"/>
    <w:basedOn w:val="a"/>
    <w:next w:val="a"/>
    <w:link w:val="20"/>
    <w:uiPriority w:val="9"/>
    <w:semiHidden/>
    <w:unhideWhenUsed/>
    <w:qFormat/>
    <w:rsid w:val="002B789C"/>
    <w:pPr>
      <w:keepNext/>
      <w:keepLines/>
      <w:spacing w:before="160" w:after="80"/>
      <w:outlineLvl w:val="1"/>
    </w:pPr>
    <w:rPr>
      <w:rFonts w:asciiTheme="majorHAnsi" w:eastAsiaTheme="majorEastAsia" w:hAnsiTheme="majorHAnsi" w:cstheme="majorBidi"/>
      <w:color w:val="2F5496" w:themeColor="accent1" w:themeShade="BF"/>
      <w:sz w:val="40"/>
      <w:szCs w:val="40"/>
    </w:rPr>
  </w:style>
  <w:style w:type="paragraph" w:styleId="3">
    <w:name w:val="heading 3"/>
    <w:basedOn w:val="a"/>
    <w:next w:val="a"/>
    <w:link w:val="30"/>
    <w:uiPriority w:val="9"/>
    <w:semiHidden/>
    <w:unhideWhenUsed/>
    <w:qFormat/>
    <w:rsid w:val="002B789C"/>
    <w:pPr>
      <w:keepNext/>
      <w:keepLines/>
      <w:spacing w:before="160" w:after="80"/>
      <w:outlineLvl w:val="2"/>
    </w:pPr>
    <w:rPr>
      <w:rFonts w:asciiTheme="majorHAnsi" w:eastAsiaTheme="majorEastAsia" w:hAnsiTheme="majorHAnsi" w:cstheme="majorBidi"/>
      <w:color w:val="2F5496" w:themeColor="accent1" w:themeShade="BF"/>
      <w:sz w:val="32"/>
      <w:szCs w:val="32"/>
    </w:rPr>
  </w:style>
  <w:style w:type="paragraph" w:styleId="4">
    <w:name w:val="heading 4"/>
    <w:basedOn w:val="a"/>
    <w:next w:val="a"/>
    <w:link w:val="40"/>
    <w:uiPriority w:val="9"/>
    <w:semiHidden/>
    <w:unhideWhenUsed/>
    <w:qFormat/>
    <w:rsid w:val="002B789C"/>
    <w:pPr>
      <w:keepNext/>
      <w:keepLines/>
      <w:spacing w:before="80" w:after="40"/>
      <w:outlineLvl w:val="3"/>
    </w:pPr>
    <w:rPr>
      <w:rFonts w:cstheme="majorBidi"/>
      <w:color w:val="2F5496" w:themeColor="accent1" w:themeShade="BF"/>
      <w:sz w:val="28"/>
      <w:szCs w:val="28"/>
    </w:rPr>
  </w:style>
  <w:style w:type="paragraph" w:styleId="5">
    <w:name w:val="heading 5"/>
    <w:basedOn w:val="a"/>
    <w:next w:val="a"/>
    <w:link w:val="50"/>
    <w:uiPriority w:val="9"/>
    <w:semiHidden/>
    <w:unhideWhenUsed/>
    <w:qFormat/>
    <w:rsid w:val="002B789C"/>
    <w:pPr>
      <w:keepNext/>
      <w:keepLines/>
      <w:spacing w:before="80" w:after="40"/>
      <w:outlineLvl w:val="4"/>
    </w:pPr>
    <w:rPr>
      <w:rFonts w:cstheme="majorBidi"/>
      <w:color w:val="2F5496" w:themeColor="accent1" w:themeShade="BF"/>
      <w:sz w:val="24"/>
    </w:rPr>
  </w:style>
  <w:style w:type="paragraph" w:styleId="6">
    <w:name w:val="heading 6"/>
    <w:basedOn w:val="a"/>
    <w:next w:val="a"/>
    <w:link w:val="60"/>
    <w:uiPriority w:val="9"/>
    <w:semiHidden/>
    <w:unhideWhenUsed/>
    <w:qFormat/>
    <w:rsid w:val="002B789C"/>
    <w:pPr>
      <w:keepNext/>
      <w:keepLines/>
      <w:spacing w:before="40"/>
      <w:outlineLvl w:val="5"/>
    </w:pPr>
    <w:rPr>
      <w:rFonts w:cstheme="majorBidi"/>
      <w:b/>
      <w:bCs/>
      <w:color w:val="2F5496" w:themeColor="accent1" w:themeShade="BF"/>
    </w:rPr>
  </w:style>
  <w:style w:type="paragraph" w:styleId="7">
    <w:name w:val="heading 7"/>
    <w:basedOn w:val="a"/>
    <w:next w:val="a"/>
    <w:link w:val="70"/>
    <w:uiPriority w:val="9"/>
    <w:semiHidden/>
    <w:unhideWhenUsed/>
    <w:qFormat/>
    <w:rsid w:val="002B789C"/>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2B789C"/>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2B789C"/>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2B789C"/>
    <w:rPr>
      <w:rFonts w:asciiTheme="majorHAnsi" w:eastAsiaTheme="majorEastAsia" w:hAnsiTheme="majorHAnsi" w:cstheme="majorBidi"/>
      <w:color w:val="2F5496" w:themeColor="accent1" w:themeShade="BF"/>
      <w:sz w:val="48"/>
      <w:szCs w:val="48"/>
    </w:rPr>
  </w:style>
  <w:style w:type="character" w:customStyle="1" w:styleId="20">
    <w:name w:val="标题 2 字符"/>
    <w:basedOn w:val="a0"/>
    <w:link w:val="2"/>
    <w:uiPriority w:val="9"/>
    <w:semiHidden/>
    <w:rsid w:val="002B789C"/>
    <w:rPr>
      <w:rFonts w:asciiTheme="majorHAnsi" w:eastAsiaTheme="majorEastAsia" w:hAnsiTheme="majorHAnsi" w:cstheme="majorBidi"/>
      <w:color w:val="2F5496" w:themeColor="accent1" w:themeShade="BF"/>
      <w:sz w:val="40"/>
      <w:szCs w:val="40"/>
    </w:rPr>
  </w:style>
  <w:style w:type="character" w:customStyle="1" w:styleId="30">
    <w:name w:val="标题 3 字符"/>
    <w:basedOn w:val="a0"/>
    <w:link w:val="3"/>
    <w:uiPriority w:val="9"/>
    <w:semiHidden/>
    <w:rsid w:val="002B789C"/>
    <w:rPr>
      <w:rFonts w:asciiTheme="majorHAnsi" w:eastAsiaTheme="majorEastAsia" w:hAnsiTheme="majorHAnsi" w:cstheme="majorBidi"/>
      <w:color w:val="2F5496" w:themeColor="accent1" w:themeShade="BF"/>
      <w:sz w:val="32"/>
      <w:szCs w:val="32"/>
    </w:rPr>
  </w:style>
  <w:style w:type="character" w:customStyle="1" w:styleId="40">
    <w:name w:val="标题 4 字符"/>
    <w:basedOn w:val="a0"/>
    <w:link w:val="4"/>
    <w:uiPriority w:val="9"/>
    <w:semiHidden/>
    <w:rsid w:val="002B789C"/>
    <w:rPr>
      <w:rFonts w:cstheme="majorBidi"/>
      <w:color w:val="2F5496" w:themeColor="accent1" w:themeShade="BF"/>
      <w:sz w:val="28"/>
      <w:szCs w:val="28"/>
    </w:rPr>
  </w:style>
  <w:style w:type="character" w:customStyle="1" w:styleId="50">
    <w:name w:val="标题 5 字符"/>
    <w:basedOn w:val="a0"/>
    <w:link w:val="5"/>
    <w:uiPriority w:val="9"/>
    <w:semiHidden/>
    <w:rsid w:val="002B789C"/>
    <w:rPr>
      <w:rFonts w:cstheme="majorBidi"/>
      <w:color w:val="2F5496" w:themeColor="accent1" w:themeShade="BF"/>
      <w:sz w:val="24"/>
    </w:rPr>
  </w:style>
  <w:style w:type="character" w:customStyle="1" w:styleId="60">
    <w:name w:val="标题 6 字符"/>
    <w:basedOn w:val="a0"/>
    <w:link w:val="6"/>
    <w:uiPriority w:val="9"/>
    <w:semiHidden/>
    <w:rsid w:val="002B789C"/>
    <w:rPr>
      <w:rFonts w:cstheme="majorBidi"/>
      <w:b/>
      <w:bCs/>
      <w:color w:val="2F5496" w:themeColor="accent1" w:themeShade="BF"/>
    </w:rPr>
  </w:style>
  <w:style w:type="character" w:customStyle="1" w:styleId="70">
    <w:name w:val="标题 7 字符"/>
    <w:basedOn w:val="a0"/>
    <w:link w:val="7"/>
    <w:uiPriority w:val="9"/>
    <w:semiHidden/>
    <w:rsid w:val="002B789C"/>
    <w:rPr>
      <w:rFonts w:cstheme="majorBidi"/>
      <w:b/>
      <w:bCs/>
      <w:color w:val="595959" w:themeColor="text1" w:themeTint="A6"/>
    </w:rPr>
  </w:style>
  <w:style w:type="character" w:customStyle="1" w:styleId="80">
    <w:name w:val="标题 8 字符"/>
    <w:basedOn w:val="a0"/>
    <w:link w:val="8"/>
    <w:uiPriority w:val="9"/>
    <w:semiHidden/>
    <w:rsid w:val="002B789C"/>
    <w:rPr>
      <w:rFonts w:cstheme="majorBidi"/>
      <w:color w:val="595959" w:themeColor="text1" w:themeTint="A6"/>
    </w:rPr>
  </w:style>
  <w:style w:type="character" w:customStyle="1" w:styleId="90">
    <w:name w:val="标题 9 字符"/>
    <w:basedOn w:val="a0"/>
    <w:link w:val="9"/>
    <w:uiPriority w:val="9"/>
    <w:semiHidden/>
    <w:rsid w:val="002B789C"/>
    <w:rPr>
      <w:rFonts w:eastAsiaTheme="majorEastAsia" w:cstheme="majorBidi"/>
      <w:color w:val="595959" w:themeColor="text1" w:themeTint="A6"/>
    </w:rPr>
  </w:style>
  <w:style w:type="paragraph" w:styleId="a3">
    <w:name w:val="Title"/>
    <w:basedOn w:val="a"/>
    <w:next w:val="a"/>
    <w:link w:val="a4"/>
    <w:uiPriority w:val="10"/>
    <w:qFormat/>
    <w:rsid w:val="002B789C"/>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2B789C"/>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2B789C"/>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2B789C"/>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2B789C"/>
    <w:pPr>
      <w:spacing w:before="160" w:after="160"/>
      <w:jc w:val="center"/>
    </w:pPr>
    <w:rPr>
      <w:i/>
      <w:iCs/>
      <w:color w:val="404040" w:themeColor="text1" w:themeTint="BF"/>
    </w:rPr>
  </w:style>
  <w:style w:type="character" w:customStyle="1" w:styleId="a8">
    <w:name w:val="引用 字符"/>
    <w:basedOn w:val="a0"/>
    <w:link w:val="a7"/>
    <w:uiPriority w:val="29"/>
    <w:rsid w:val="002B789C"/>
    <w:rPr>
      <w:i/>
      <w:iCs/>
      <w:color w:val="404040" w:themeColor="text1" w:themeTint="BF"/>
    </w:rPr>
  </w:style>
  <w:style w:type="paragraph" w:styleId="a9">
    <w:name w:val="List Paragraph"/>
    <w:basedOn w:val="a"/>
    <w:uiPriority w:val="34"/>
    <w:qFormat/>
    <w:rsid w:val="002B789C"/>
    <w:pPr>
      <w:ind w:left="720"/>
      <w:contextualSpacing/>
    </w:pPr>
  </w:style>
  <w:style w:type="character" w:styleId="aa">
    <w:name w:val="Intense Emphasis"/>
    <w:basedOn w:val="a0"/>
    <w:uiPriority w:val="21"/>
    <w:qFormat/>
    <w:rsid w:val="002B789C"/>
    <w:rPr>
      <w:i/>
      <w:iCs/>
      <w:color w:val="2F5496" w:themeColor="accent1" w:themeShade="BF"/>
    </w:rPr>
  </w:style>
  <w:style w:type="paragraph" w:styleId="ab">
    <w:name w:val="Intense Quote"/>
    <w:basedOn w:val="a"/>
    <w:next w:val="a"/>
    <w:link w:val="ac"/>
    <w:uiPriority w:val="30"/>
    <w:qFormat/>
    <w:rsid w:val="002B789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c">
    <w:name w:val="明显引用 字符"/>
    <w:basedOn w:val="a0"/>
    <w:link w:val="ab"/>
    <w:uiPriority w:val="30"/>
    <w:rsid w:val="002B789C"/>
    <w:rPr>
      <w:i/>
      <w:iCs/>
      <w:color w:val="2F5496" w:themeColor="accent1" w:themeShade="BF"/>
    </w:rPr>
  </w:style>
  <w:style w:type="character" w:styleId="ad">
    <w:name w:val="Intense Reference"/>
    <w:basedOn w:val="a0"/>
    <w:uiPriority w:val="32"/>
    <w:qFormat/>
    <w:rsid w:val="002B789C"/>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24538538">
      <w:bodyDiv w:val="1"/>
      <w:marLeft w:val="0"/>
      <w:marRight w:val="0"/>
      <w:marTop w:val="0"/>
      <w:marBottom w:val="0"/>
      <w:divBdr>
        <w:top w:val="none" w:sz="0" w:space="0" w:color="auto"/>
        <w:left w:val="none" w:sz="0" w:space="0" w:color="auto"/>
        <w:bottom w:val="none" w:sz="0" w:space="0" w:color="auto"/>
        <w:right w:val="none" w:sz="0" w:space="0" w:color="auto"/>
      </w:divBdr>
      <w:divsChild>
        <w:div w:id="190920501">
          <w:marLeft w:val="0"/>
          <w:marRight w:val="0"/>
          <w:marTop w:val="0"/>
          <w:marBottom w:val="240"/>
          <w:divBdr>
            <w:top w:val="single" w:sz="2" w:space="0" w:color="auto"/>
            <w:left w:val="single" w:sz="2" w:space="0" w:color="auto"/>
            <w:bottom w:val="single" w:sz="2" w:space="0" w:color="auto"/>
            <w:right w:val="single" w:sz="2" w:space="0" w:color="auto"/>
          </w:divBdr>
        </w:div>
        <w:div w:id="315691916">
          <w:marLeft w:val="0"/>
          <w:marRight w:val="0"/>
          <w:marTop w:val="120"/>
          <w:marBottom w:val="120"/>
          <w:divBdr>
            <w:top w:val="single" w:sz="2" w:space="0" w:color="auto"/>
            <w:left w:val="single" w:sz="2" w:space="0" w:color="auto"/>
            <w:bottom w:val="single" w:sz="2" w:space="0" w:color="auto"/>
            <w:right w:val="single" w:sz="2" w:space="0" w:color="auto"/>
          </w:divBdr>
        </w:div>
        <w:div w:id="2059737627">
          <w:marLeft w:val="0"/>
          <w:marRight w:val="0"/>
          <w:marTop w:val="360"/>
          <w:marBottom w:val="180"/>
          <w:divBdr>
            <w:top w:val="single" w:sz="2" w:space="0" w:color="auto"/>
            <w:left w:val="single" w:sz="2" w:space="0" w:color="auto"/>
            <w:bottom w:val="single" w:sz="2" w:space="0" w:color="auto"/>
            <w:right w:val="single" w:sz="2" w:space="0" w:color="auto"/>
          </w:divBdr>
        </w:div>
        <w:div w:id="131793611">
          <w:marLeft w:val="0"/>
          <w:marRight w:val="0"/>
          <w:marTop w:val="120"/>
          <w:marBottom w:val="120"/>
          <w:divBdr>
            <w:top w:val="single" w:sz="2" w:space="0" w:color="auto"/>
            <w:left w:val="single" w:sz="2" w:space="0" w:color="auto"/>
            <w:bottom w:val="single" w:sz="2" w:space="0" w:color="auto"/>
            <w:right w:val="single" w:sz="2" w:space="0" w:color="auto"/>
          </w:divBdr>
        </w:div>
        <w:div w:id="1001667269">
          <w:marLeft w:val="0"/>
          <w:marRight w:val="0"/>
          <w:marTop w:val="360"/>
          <w:marBottom w:val="180"/>
          <w:divBdr>
            <w:top w:val="single" w:sz="2" w:space="0" w:color="auto"/>
            <w:left w:val="single" w:sz="2" w:space="0" w:color="auto"/>
            <w:bottom w:val="single" w:sz="2" w:space="0" w:color="auto"/>
            <w:right w:val="single" w:sz="2" w:space="0" w:color="auto"/>
          </w:divBdr>
        </w:div>
        <w:div w:id="895235838">
          <w:marLeft w:val="0"/>
          <w:marRight w:val="0"/>
          <w:marTop w:val="120"/>
          <w:marBottom w:val="120"/>
          <w:divBdr>
            <w:top w:val="single" w:sz="2" w:space="0" w:color="auto"/>
            <w:left w:val="single" w:sz="2" w:space="0" w:color="auto"/>
            <w:bottom w:val="single" w:sz="2" w:space="0" w:color="auto"/>
            <w:right w:val="single" w:sz="2" w:space="0" w:color="auto"/>
          </w:divBdr>
        </w:div>
        <w:div w:id="1102065580">
          <w:marLeft w:val="0"/>
          <w:marRight w:val="0"/>
          <w:marTop w:val="120"/>
          <w:marBottom w:val="120"/>
          <w:divBdr>
            <w:top w:val="single" w:sz="2" w:space="0" w:color="auto"/>
            <w:left w:val="single" w:sz="2" w:space="0" w:color="auto"/>
            <w:bottom w:val="single" w:sz="2" w:space="0" w:color="auto"/>
            <w:right w:val="single" w:sz="2" w:space="0" w:color="auto"/>
          </w:divBdr>
        </w:div>
        <w:div w:id="2111578549">
          <w:marLeft w:val="0"/>
          <w:marRight w:val="0"/>
          <w:marTop w:val="360"/>
          <w:marBottom w:val="180"/>
          <w:divBdr>
            <w:top w:val="single" w:sz="2" w:space="0" w:color="auto"/>
            <w:left w:val="single" w:sz="2" w:space="0" w:color="auto"/>
            <w:bottom w:val="single" w:sz="2" w:space="0" w:color="auto"/>
            <w:right w:val="single" w:sz="2" w:space="0" w:color="auto"/>
          </w:divBdr>
        </w:div>
        <w:div w:id="993753159">
          <w:marLeft w:val="0"/>
          <w:marRight w:val="0"/>
          <w:marTop w:val="120"/>
          <w:marBottom w:val="120"/>
          <w:divBdr>
            <w:top w:val="single" w:sz="2" w:space="0" w:color="auto"/>
            <w:left w:val="single" w:sz="2" w:space="0" w:color="auto"/>
            <w:bottom w:val="single" w:sz="2" w:space="0" w:color="auto"/>
            <w:right w:val="single" w:sz="2" w:space="0" w:color="auto"/>
          </w:divBdr>
        </w:div>
        <w:div w:id="1868449146">
          <w:marLeft w:val="0"/>
          <w:marRight w:val="0"/>
          <w:marTop w:val="120"/>
          <w:marBottom w:val="120"/>
          <w:divBdr>
            <w:top w:val="single" w:sz="2" w:space="0" w:color="auto"/>
            <w:left w:val="single" w:sz="2" w:space="0" w:color="auto"/>
            <w:bottom w:val="single" w:sz="2" w:space="0" w:color="auto"/>
            <w:right w:val="single" w:sz="2" w:space="0" w:color="auto"/>
          </w:divBdr>
        </w:div>
        <w:div w:id="47925084">
          <w:marLeft w:val="0"/>
          <w:marRight w:val="0"/>
          <w:marTop w:val="360"/>
          <w:marBottom w:val="180"/>
          <w:divBdr>
            <w:top w:val="single" w:sz="2" w:space="0" w:color="auto"/>
            <w:left w:val="single" w:sz="2" w:space="0" w:color="auto"/>
            <w:bottom w:val="single" w:sz="2" w:space="0" w:color="auto"/>
            <w:right w:val="single" w:sz="2" w:space="0" w:color="auto"/>
          </w:divBdr>
        </w:div>
        <w:div w:id="570428426">
          <w:marLeft w:val="0"/>
          <w:marRight w:val="0"/>
          <w:marTop w:val="120"/>
          <w:marBottom w:val="120"/>
          <w:divBdr>
            <w:top w:val="single" w:sz="2" w:space="0" w:color="auto"/>
            <w:left w:val="single" w:sz="2" w:space="0" w:color="auto"/>
            <w:bottom w:val="single" w:sz="2" w:space="0" w:color="auto"/>
            <w:right w:val="single" w:sz="2" w:space="0" w:color="auto"/>
          </w:divBdr>
        </w:div>
        <w:div w:id="1911504796">
          <w:marLeft w:val="0"/>
          <w:marRight w:val="0"/>
          <w:marTop w:val="120"/>
          <w:marBottom w:val="12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39</TotalTime>
  <Pages>4</Pages>
  <Words>238</Words>
  <Characters>1358</Characters>
  <Application>Microsoft Office Word</Application>
  <DocSecurity>0</DocSecurity>
  <Lines>11</Lines>
  <Paragraphs>3</Paragraphs>
  <ScaleCrop>false</ScaleCrop>
  <Company/>
  <LinksUpToDate>false</LinksUpToDate>
  <CharactersWithSpaces>1593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4</cp:revision>
  <dcterms:created xsi:type="dcterms:W3CDTF">2025-09-29T01:36:00Z</dcterms:created>
  <dcterms:modified xsi:type="dcterms:W3CDTF">2025-11-12T00:54:00Z</dcterms:modified>
</cp:coreProperties>
</file>